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:rsidR="00E636A7" w:rsidRPr="00E636A7" w:rsidRDefault="00E636A7" w:rsidP="00E636A7"/>
    <w:p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2E3AE5">
        <w:t>22. prosinca</w:t>
      </w:r>
      <w:r w:rsidRPr="00E636A7">
        <w:t xml:space="preserve"> 2022.</w:t>
      </w:r>
    </w:p>
    <w:p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:rsidTr="00ED2BC2">
        <w:tc>
          <w:tcPr>
            <w:tcW w:w="1951" w:type="dxa"/>
          </w:tcPr>
          <w:p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:rsidTr="00ED2BC2">
        <w:tc>
          <w:tcPr>
            <w:tcW w:w="1951" w:type="dxa"/>
          </w:tcPr>
          <w:p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Predmet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:rsidR="00E636A7" w:rsidRPr="00E636A7" w:rsidRDefault="009549C7" w:rsidP="001D7103">
            <w:pPr>
              <w:spacing w:line="360" w:lineRule="auto"/>
              <w:jc w:val="both"/>
            </w:pPr>
            <w:r w:rsidRPr="009549C7">
              <w:t xml:space="preserve">Prijedlog odluke o </w:t>
            </w:r>
            <w:r w:rsidR="002E3AE5">
              <w:t>isplati jednokratnog novčanog primanja korisnicima prava u sustavu socijalne skrbi radi ublažavanja posljedica rasta troškova života</w:t>
            </w:r>
            <w:r w:rsidRPr="009549C7">
              <w:t xml:space="preserve"> </w:t>
            </w:r>
          </w:p>
        </w:tc>
      </w:tr>
    </w:tbl>
    <w:p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P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Default="00E636A7" w:rsidP="00E636A7"/>
    <w:p w:rsidR="00E636A7" w:rsidRPr="00E636A7" w:rsidRDefault="00E636A7" w:rsidP="00E636A7"/>
    <w:p w:rsidR="00E636A7" w:rsidRPr="00E636A7" w:rsidRDefault="00E636A7" w:rsidP="00E636A7"/>
    <w:p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32AE2" w:rsidRPr="001D7103" w:rsidRDefault="00D63F13" w:rsidP="001D7103">
      <w:pPr>
        <w:ind w:left="720"/>
        <w:contextualSpacing/>
        <w:jc w:val="right"/>
        <w:rPr>
          <w:rFonts w:eastAsia="Calibri"/>
          <w:b/>
          <w:lang w:eastAsia="en-US"/>
        </w:rPr>
      </w:pPr>
      <w:r w:rsidRPr="001D7103">
        <w:rPr>
          <w:rFonts w:eastAsia="Calibri"/>
          <w:b/>
          <w:lang w:eastAsia="en-US"/>
        </w:rPr>
        <w:t>Prijedlog</w:t>
      </w:r>
    </w:p>
    <w:p w:rsidR="00732AE2" w:rsidRPr="001D7103" w:rsidRDefault="00732AE2" w:rsidP="001D7103">
      <w:pPr>
        <w:contextualSpacing/>
        <w:jc w:val="both"/>
        <w:rPr>
          <w:rFonts w:eastAsia="Calibri"/>
          <w:lang w:eastAsia="en-US"/>
        </w:rPr>
      </w:pPr>
    </w:p>
    <w:p w:rsidR="00D63F13" w:rsidRPr="001D7103" w:rsidRDefault="00D63F13" w:rsidP="001D7103">
      <w:pPr>
        <w:contextualSpacing/>
        <w:jc w:val="both"/>
        <w:rPr>
          <w:rFonts w:eastAsia="Calibri"/>
          <w:lang w:eastAsia="en-US"/>
        </w:rPr>
      </w:pPr>
    </w:p>
    <w:p w:rsidR="001D7103" w:rsidRDefault="001D7103" w:rsidP="00186E65">
      <w:pPr>
        <w:shd w:val="clear" w:color="auto" w:fill="FFFFFF"/>
        <w:jc w:val="both"/>
        <w:textAlignment w:val="baseline"/>
        <w:rPr>
          <w:color w:val="231F20"/>
        </w:rPr>
      </w:pPr>
    </w:p>
    <w:p w:rsidR="001D7103" w:rsidRDefault="001D7103" w:rsidP="00186E65">
      <w:pPr>
        <w:shd w:val="clear" w:color="auto" w:fill="FFFFFF"/>
        <w:jc w:val="both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Na temelju članka 8. i članka 31. stavka 2. Zakona o Vladi Republike Hrvatske („Narodne novine“, br. 150/11., 119/14., 93/16., 116/18. i 80/22.), Vlada Republike Hrvatske je na sjednici održanoj ____________ donijela</w:t>
      </w:r>
    </w:p>
    <w:p w:rsidR="002E3AE5" w:rsidRDefault="002E3AE5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1D7103" w:rsidRDefault="001D7103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C60185" w:rsidRDefault="00C60185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1D7103" w:rsidRPr="001D7103" w:rsidRDefault="001D7103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Default="002E3AE5" w:rsidP="00186E65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O</w:t>
      </w:r>
      <w:r w:rsidR="001D7103">
        <w:rPr>
          <w:b/>
          <w:color w:val="231F20"/>
        </w:rPr>
        <w:t xml:space="preserve"> </w:t>
      </w:r>
      <w:r w:rsidRPr="001D7103">
        <w:rPr>
          <w:b/>
          <w:color w:val="231F20"/>
        </w:rPr>
        <w:t>D</w:t>
      </w:r>
      <w:r w:rsidR="001D7103">
        <w:rPr>
          <w:b/>
          <w:color w:val="231F20"/>
        </w:rPr>
        <w:t xml:space="preserve"> </w:t>
      </w:r>
      <w:r w:rsidRPr="001D7103">
        <w:rPr>
          <w:b/>
          <w:color w:val="231F20"/>
        </w:rPr>
        <w:t>L</w:t>
      </w:r>
      <w:r w:rsidR="001D7103">
        <w:rPr>
          <w:b/>
          <w:color w:val="231F20"/>
        </w:rPr>
        <w:t xml:space="preserve"> </w:t>
      </w:r>
      <w:r w:rsidRPr="001D7103">
        <w:rPr>
          <w:b/>
          <w:color w:val="231F20"/>
        </w:rPr>
        <w:t>U</w:t>
      </w:r>
      <w:r w:rsidR="001D7103">
        <w:rPr>
          <w:b/>
          <w:color w:val="231F20"/>
        </w:rPr>
        <w:t xml:space="preserve"> </w:t>
      </w:r>
      <w:r w:rsidRPr="001D7103">
        <w:rPr>
          <w:b/>
          <w:color w:val="231F20"/>
        </w:rPr>
        <w:t>K</w:t>
      </w:r>
      <w:r w:rsidR="001D7103">
        <w:rPr>
          <w:b/>
          <w:color w:val="231F20"/>
        </w:rPr>
        <w:t xml:space="preserve"> </w:t>
      </w:r>
      <w:r w:rsidRPr="001D7103">
        <w:rPr>
          <w:b/>
          <w:color w:val="231F20"/>
        </w:rPr>
        <w:t>U</w:t>
      </w:r>
    </w:p>
    <w:p w:rsidR="001D7103" w:rsidRPr="001D7103" w:rsidRDefault="001D7103" w:rsidP="00186E65">
      <w:pPr>
        <w:shd w:val="clear" w:color="auto" w:fill="FFFFFF"/>
        <w:jc w:val="center"/>
        <w:textAlignment w:val="baseline"/>
        <w:rPr>
          <w:b/>
          <w:color w:val="231F20"/>
        </w:rPr>
      </w:pPr>
    </w:p>
    <w:p w:rsidR="002E6F34" w:rsidRDefault="001D7103" w:rsidP="00186E65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o isplati jednokratnog novčanog primanja korisnicima prava u sustavu</w:t>
      </w:r>
    </w:p>
    <w:p w:rsidR="002E3AE5" w:rsidRPr="001D7103" w:rsidRDefault="001D7103" w:rsidP="00186E65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  <w:r w:rsidRPr="001D7103">
        <w:rPr>
          <w:b/>
          <w:color w:val="231F20"/>
        </w:rPr>
        <w:t>socijalne skrbi radi ublažavanja posljedica rasta troškova života</w:t>
      </w:r>
    </w:p>
    <w:p w:rsidR="002E3AE5" w:rsidRDefault="002E3AE5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1D7103" w:rsidRDefault="001D7103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C60185" w:rsidRDefault="00C60185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1D7103" w:rsidRPr="001D7103" w:rsidRDefault="001D7103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86E65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I.</w:t>
      </w:r>
    </w:p>
    <w:p w:rsidR="002E3AE5" w:rsidRPr="001D7103" w:rsidRDefault="002E3AE5" w:rsidP="00186E65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Ovom Odlukom uređuje se isplata jednokratnog novčanog primanja korisnicima prava u sustavu socijalne skrbi radi ublažavanja posljedica rasta troškova života</w:t>
      </w:r>
      <w:r w:rsidR="00C60185">
        <w:rPr>
          <w:color w:val="231F20"/>
        </w:rPr>
        <w:t>,</w:t>
      </w:r>
      <w:r w:rsidRPr="001D7103">
        <w:rPr>
          <w:color w:val="231F20"/>
        </w:rPr>
        <w:t xml:space="preserve"> u iznosima i pod uvjetima koji se uređuju ovom Odlukom.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II.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Jednokratno novčano primanje iz točke I. Ove O</w:t>
      </w:r>
      <w:r w:rsidR="001D7103">
        <w:rPr>
          <w:color w:val="231F20"/>
        </w:rPr>
        <w:t>dluke isplatit</w:t>
      </w:r>
      <w:r w:rsidRPr="001D7103">
        <w:rPr>
          <w:color w:val="231F20"/>
        </w:rPr>
        <w:t xml:space="preserve"> će se korisniku prava na naknadu za ugroženog kupca energenata te prava na doplatak za pomoć i njegu, kojemu je to pravo priznato na dan stupanja na snagu ove Odluke.</w:t>
      </w:r>
    </w:p>
    <w:p w:rsidR="002E3AE5" w:rsidRPr="001D7103" w:rsidRDefault="002E3AE5" w:rsidP="001D7103">
      <w:pPr>
        <w:shd w:val="clear" w:color="auto" w:fill="FFFFFF"/>
        <w:ind w:firstLine="408"/>
        <w:jc w:val="both"/>
        <w:textAlignment w:val="baseline"/>
        <w:rPr>
          <w:i/>
          <w:iCs/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III.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Iznos jednokratnog novčanog primanja iz točke I. ove Odluke određuje se u iznosu od 1.000,00 kuna po korisniku.</w:t>
      </w:r>
    </w:p>
    <w:p w:rsidR="002E3AE5" w:rsidRPr="001D7103" w:rsidRDefault="002E3AE5" w:rsidP="001D7103">
      <w:pPr>
        <w:shd w:val="clear" w:color="auto" w:fill="FFFFFF"/>
        <w:ind w:firstLine="408"/>
        <w:jc w:val="both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IV.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both"/>
        <w:textAlignment w:val="baseline"/>
        <w:rPr>
          <w:color w:val="231F20"/>
        </w:rPr>
      </w:pPr>
      <w:r w:rsidRPr="001D7103">
        <w:rPr>
          <w:color w:val="231F20"/>
        </w:rPr>
        <w:tab/>
      </w:r>
      <w:r w:rsidRPr="001D7103">
        <w:rPr>
          <w:color w:val="231F20"/>
        </w:rPr>
        <w:tab/>
        <w:t>Korisniku prava na doplatak za pomoć i njegu</w:t>
      </w:r>
      <w:r w:rsidR="00C60185">
        <w:rPr>
          <w:color w:val="231F20"/>
        </w:rPr>
        <w:t>,</w:t>
      </w:r>
      <w:r w:rsidRPr="001D7103">
        <w:rPr>
          <w:color w:val="231F20"/>
        </w:rPr>
        <w:t xml:space="preserve"> koji je istovremeno korisnik prava na naknadu za ugroženog kupca energenata na temelju priznatoga prava na zajamčenu minimalnu naknadu</w:t>
      </w:r>
      <w:r w:rsidR="00C60185">
        <w:rPr>
          <w:color w:val="231F20"/>
        </w:rPr>
        <w:t>,</w:t>
      </w:r>
      <w:r w:rsidRPr="001D7103">
        <w:rPr>
          <w:color w:val="231F20"/>
        </w:rPr>
        <w:t xml:space="preserve"> jednokratno novčano primanje može biti isplaćeno samo po jednoj osnovi.</w:t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  <w:r w:rsidRPr="001D7103">
        <w:rPr>
          <w:color w:val="231F20"/>
        </w:rPr>
        <w:tab/>
      </w:r>
    </w:p>
    <w:p w:rsidR="002E3AE5" w:rsidRPr="001D7103" w:rsidRDefault="002E3AE5" w:rsidP="001D7103">
      <w:pPr>
        <w:shd w:val="clear" w:color="auto" w:fill="FFFFFF"/>
        <w:tabs>
          <w:tab w:val="left" w:pos="468"/>
        </w:tabs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V.</w:t>
      </w:r>
    </w:p>
    <w:p w:rsidR="002E3AE5" w:rsidRPr="001D7103" w:rsidRDefault="002E3AE5" w:rsidP="001D7103">
      <w:pPr>
        <w:shd w:val="clear" w:color="auto" w:fill="FFFFFF"/>
        <w:tabs>
          <w:tab w:val="left" w:pos="468"/>
        </w:tabs>
        <w:jc w:val="both"/>
        <w:textAlignment w:val="baseline"/>
        <w:rPr>
          <w:color w:val="231F20"/>
        </w:rPr>
      </w:pPr>
      <w:r w:rsidRPr="001D7103">
        <w:rPr>
          <w:color w:val="231F20"/>
        </w:rPr>
        <w:tab/>
      </w: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 xml:space="preserve">Jednokratno novčano primanje u skladu s ovom Odlukom isplatit će se u prosincu 2022. putem nadležnog centra za socijalnu skrb. </w:t>
      </w:r>
    </w:p>
    <w:p w:rsidR="002E3AE5" w:rsidRDefault="002E3AE5" w:rsidP="001D7103">
      <w:pPr>
        <w:shd w:val="clear" w:color="auto" w:fill="FFFFFF"/>
        <w:tabs>
          <w:tab w:val="left" w:pos="468"/>
        </w:tabs>
        <w:jc w:val="both"/>
        <w:textAlignment w:val="baseline"/>
        <w:rPr>
          <w:color w:val="231F20"/>
        </w:rPr>
      </w:pPr>
    </w:p>
    <w:p w:rsidR="00C60185" w:rsidRDefault="00C60185" w:rsidP="001D7103">
      <w:pPr>
        <w:shd w:val="clear" w:color="auto" w:fill="FFFFFF"/>
        <w:tabs>
          <w:tab w:val="left" w:pos="468"/>
        </w:tabs>
        <w:jc w:val="both"/>
        <w:textAlignment w:val="baseline"/>
        <w:rPr>
          <w:color w:val="231F20"/>
        </w:rPr>
      </w:pPr>
    </w:p>
    <w:p w:rsidR="001D7103" w:rsidRDefault="001D7103" w:rsidP="001D7103">
      <w:pPr>
        <w:shd w:val="clear" w:color="auto" w:fill="FFFFFF"/>
        <w:tabs>
          <w:tab w:val="left" w:pos="468"/>
        </w:tabs>
        <w:jc w:val="both"/>
        <w:textAlignment w:val="baseline"/>
        <w:rPr>
          <w:color w:val="231F20"/>
        </w:rPr>
      </w:pPr>
    </w:p>
    <w:p w:rsidR="001D7103" w:rsidRPr="001D7103" w:rsidRDefault="001D7103" w:rsidP="001D7103">
      <w:pPr>
        <w:shd w:val="clear" w:color="auto" w:fill="FFFFFF"/>
        <w:tabs>
          <w:tab w:val="left" w:pos="468"/>
        </w:tabs>
        <w:jc w:val="both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tabs>
          <w:tab w:val="left" w:pos="468"/>
        </w:tabs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VI.</w:t>
      </w:r>
    </w:p>
    <w:p w:rsidR="002E3AE5" w:rsidRPr="001D7103" w:rsidRDefault="002E3AE5" w:rsidP="001D7103">
      <w:pPr>
        <w:shd w:val="clear" w:color="auto" w:fill="FFFFFF"/>
        <w:tabs>
          <w:tab w:val="left" w:pos="468"/>
        </w:tabs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Jednokratno novčano primanje utvrđeno ovom Odlukom ne smatra se dohotkom sukladno članku 8. stavku 2. točki 1. Zakona o porezu na dohodak („Narodne novine“, br. 115/16., 106/18., 121/19., 32/20. i 138/20.) te nije prihod u smislu članka 14.c Zakona o dobrovoljnom zdravstvenom osiguranju („Narodne novine“, br. 85/06., 150/08., 71/10., 53/20. i 120/21.).</w:t>
      </w:r>
    </w:p>
    <w:p w:rsidR="001D7103" w:rsidRDefault="001D7103" w:rsidP="001D7103">
      <w:pPr>
        <w:shd w:val="clear" w:color="auto" w:fill="FFFFFF"/>
        <w:ind w:firstLine="408"/>
        <w:jc w:val="both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 xml:space="preserve">Jednokratno </w:t>
      </w:r>
      <w:r w:rsidR="001D7103">
        <w:rPr>
          <w:color w:val="231F20"/>
        </w:rPr>
        <w:t>novčano primanje utvrđeno ovom O</w:t>
      </w:r>
      <w:r w:rsidRPr="001D7103">
        <w:rPr>
          <w:color w:val="231F20"/>
        </w:rPr>
        <w:t>dlukom ne može biti predmet ovrhe.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VII.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Sredstva za provedbu ove Odluke osigurana su u državnom proračunu Republike Hrvatske</w:t>
      </w:r>
      <w:r w:rsidR="002E6F34">
        <w:rPr>
          <w:color w:val="231F20"/>
        </w:rPr>
        <w:t>,</w:t>
      </w:r>
      <w:r w:rsidRPr="001D7103">
        <w:rPr>
          <w:color w:val="231F20"/>
        </w:rPr>
        <w:t xml:space="preserve"> unutar Razdjela 086 Ministarstvo rada, mirovinskoga sustava, obitelji i socijalne politike. 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VIII.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 xml:space="preserve">Za provedbu ove Odluke zadužuje se Ministarstvo rada, mirovinskoga sustava, obitelji i socijalne politike 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D7103">
        <w:rPr>
          <w:b/>
          <w:color w:val="231F20"/>
        </w:rPr>
        <w:t>IX.</w:t>
      </w:r>
    </w:p>
    <w:p w:rsidR="002E3AE5" w:rsidRPr="001D7103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ind w:firstLine="1418"/>
        <w:jc w:val="both"/>
        <w:textAlignment w:val="baseline"/>
        <w:rPr>
          <w:color w:val="231F20"/>
        </w:rPr>
      </w:pPr>
      <w:r w:rsidRPr="001D7103">
        <w:rPr>
          <w:color w:val="231F20"/>
        </w:rPr>
        <w:t>Ova Odluka stupa na snagu danom donošenja, a objavit će se u „Narodnim novinama“.</w:t>
      </w:r>
    </w:p>
    <w:p w:rsidR="002E3AE5" w:rsidRDefault="002E3AE5" w:rsidP="002E6F34">
      <w:pPr>
        <w:shd w:val="clear" w:color="auto" w:fill="FFFFFF"/>
        <w:textAlignment w:val="baseline"/>
        <w:rPr>
          <w:color w:val="231F20"/>
        </w:rPr>
      </w:pPr>
    </w:p>
    <w:p w:rsidR="002E6F34" w:rsidRPr="001D7103" w:rsidRDefault="002E6F34" w:rsidP="002E6F34">
      <w:pPr>
        <w:shd w:val="clear" w:color="auto" w:fill="FFFFFF"/>
        <w:textAlignment w:val="baseline"/>
        <w:rPr>
          <w:color w:val="231F20"/>
        </w:rPr>
      </w:pPr>
    </w:p>
    <w:p w:rsidR="002E3AE5" w:rsidRPr="001D7103" w:rsidRDefault="002E3AE5" w:rsidP="002E6F34">
      <w:pPr>
        <w:shd w:val="clear" w:color="auto" w:fill="FFFFFF"/>
        <w:textAlignment w:val="baseline"/>
        <w:rPr>
          <w:color w:val="231F20"/>
        </w:rPr>
      </w:pPr>
    </w:p>
    <w:p w:rsidR="002E3AE5" w:rsidRPr="001D7103" w:rsidRDefault="001D7103" w:rsidP="001D7103">
      <w:pPr>
        <w:shd w:val="clear" w:color="auto" w:fill="FFFFFF"/>
        <w:textAlignment w:val="baseline"/>
        <w:rPr>
          <w:color w:val="231F20"/>
        </w:rPr>
      </w:pPr>
      <w:r w:rsidRPr="001D7103">
        <w:rPr>
          <w:color w:val="231F20"/>
        </w:rPr>
        <w:t xml:space="preserve">KLASA: </w:t>
      </w:r>
    </w:p>
    <w:p w:rsidR="002E3AE5" w:rsidRPr="001D7103" w:rsidRDefault="001D7103" w:rsidP="001D7103">
      <w:pPr>
        <w:shd w:val="clear" w:color="auto" w:fill="FFFFFF"/>
        <w:textAlignment w:val="baseline"/>
        <w:rPr>
          <w:color w:val="231F20"/>
        </w:rPr>
      </w:pPr>
      <w:r w:rsidRPr="001D7103">
        <w:rPr>
          <w:color w:val="231F20"/>
        </w:rPr>
        <w:t xml:space="preserve">URBROJ: </w:t>
      </w:r>
    </w:p>
    <w:p w:rsidR="002E3AE5" w:rsidRPr="001D7103" w:rsidRDefault="002E3AE5" w:rsidP="001D7103">
      <w:pPr>
        <w:shd w:val="clear" w:color="auto" w:fill="FFFFFF"/>
        <w:textAlignment w:val="baseline"/>
        <w:rPr>
          <w:color w:val="231F20"/>
        </w:rPr>
      </w:pPr>
    </w:p>
    <w:p w:rsidR="002E3AE5" w:rsidRPr="001D7103" w:rsidRDefault="002E3AE5" w:rsidP="001D7103">
      <w:pPr>
        <w:shd w:val="clear" w:color="auto" w:fill="FFFFFF"/>
        <w:textAlignment w:val="baseline"/>
        <w:rPr>
          <w:color w:val="231F20"/>
        </w:rPr>
      </w:pPr>
      <w:r w:rsidRPr="001D7103">
        <w:rPr>
          <w:color w:val="231F20"/>
        </w:rPr>
        <w:t xml:space="preserve">Zagreb, </w:t>
      </w:r>
    </w:p>
    <w:p w:rsidR="002E3AE5" w:rsidRDefault="002E3AE5" w:rsidP="002E6F34">
      <w:pPr>
        <w:shd w:val="clear" w:color="auto" w:fill="FFFFFF"/>
        <w:textAlignment w:val="baseline"/>
        <w:rPr>
          <w:color w:val="231F20"/>
        </w:rPr>
      </w:pPr>
    </w:p>
    <w:p w:rsidR="002E6F34" w:rsidRPr="001D7103" w:rsidRDefault="002E6F34" w:rsidP="002E6F34">
      <w:pPr>
        <w:shd w:val="clear" w:color="auto" w:fill="FFFFFF"/>
        <w:textAlignment w:val="baseline"/>
        <w:rPr>
          <w:color w:val="231F20"/>
        </w:rPr>
      </w:pPr>
    </w:p>
    <w:p w:rsidR="002E3AE5" w:rsidRPr="001D7103" w:rsidRDefault="002E3AE5" w:rsidP="002E6F34">
      <w:pPr>
        <w:shd w:val="clear" w:color="auto" w:fill="FFFFFF"/>
        <w:textAlignment w:val="baseline"/>
        <w:rPr>
          <w:color w:val="231F20"/>
        </w:rPr>
      </w:pPr>
    </w:p>
    <w:p w:rsidR="002E3AE5" w:rsidRPr="001D7103" w:rsidRDefault="002E6F34" w:rsidP="002E6F34">
      <w:pPr>
        <w:shd w:val="clear" w:color="auto" w:fill="FFFFFF"/>
        <w:tabs>
          <w:tab w:val="center" w:pos="6804"/>
        </w:tabs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1D7103" w:rsidRPr="001D7103">
        <w:rPr>
          <w:color w:val="231F20"/>
        </w:rPr>
        <w:t>PREDSJEDNIK</w:t>
      </w:r>
    </w:p>
    <w:p w:rsidR="002E6F34" w:rsidRDefault="002E6F34" w:rsidP="002E6F34">
      <w:pPr>
        <w:shd w:val="clear" w:color="auto" w:fill="FFFFFF"/>
        <w:tabs>
          <w:tab w:val="center" w:pos="6804"/>
        </w:tabs>
        <w:jc w:val="both"/>
        <w:textAlignment w:val="baseline"/>
        <w:rPr>
          <w:bCs/>
          <w:color w:val="231F20"/>
          <w:bdr w:val="none" w:sz="0" w:space="0" w:color="auto" w:frame="1"/>
        </w:rPr>
      </w:pPr>
    </w:p>
    <w:p w:rsidR="002E6F34" w:rsidRDefault="002E6F34" w:rsidP="002E6F34">
      <w:pPr>
        <w:shd w:val="clear" w:color="auto" w:fill="FFFFFF"/>
        <w:tabs>
          <w:tab w:val="center" w:pos="6804"/>
        </w:tabs>
        <w:jc w:val="both"/>
        <w:textAlignment w:val="baseline"/>
        <w:rPr>
          <w:bCs/>
          <w:color w:val="231F20"/>
          <w:bdr w:val="none" w:sz="0" w:space="0" w:color="auto" w:frame="1"/>
        </w:rPr>
      </w:pPr>
    </w:p>
    <w:p w:rsidR="002E3AE5" w:rsidRPr="001D7103" w:rsidRDefault="002E6F34" w:rsidP="002E6F34">
      <w:pPr>
        <w:shd w:val="clear" w:color="auto" w:fill="FFFFFF"/>
        <w:tabs>
          <w:tab w:val="center" w:pos="6804"/>
        </w:tabs>
        <w:jc w:val="both"/>
        <w:textAlignment w:val="baseline"/>
        <w:rPr>
          <w:color w:val="231F20"/>
        </w:rPr>
      </w:pPr>
      <w:r>
        <w:rPr>
          <w:bCs/>
          <w:color w:val="231F20"/>
          <w:bdr w:val="none" w:sz="0" w:space="0" w:color="auto" w:frame="1"/>
        </w:rPr>
        <w:tab/>
      </w:r>
      <w:r w:rsidR="001D7103" w:rsidRPr="001D7103">
        <w:rPr>
          <w:bCs/>
          <w:color w:val="231F20"/>
          <w:bdr w:val="none" w:sz="0" w:space="0" w:color="auto" w:frame="1"/>
        </w:rPr>
        <w:t>mr. sc. Andrej Plenković</w:t>
      </w:r>
    </w:p>
    <w:p w:rsidR="002E3AE5" w:rsidRPr="001D7103" w:rsidRDefault="002E3AE5" w:rsidP="001D7103">
      <w:pPr>
        <w:rPr>
          <w:color w:val="231F20"/>
        </w:rPr>
      </w:pPr>
      <w:r w:rsidRPr="001D7103">
        <w:rPr>
          <w:color w:val="231F20"/>
        </w:rPr>
        <w:br w:type="page"/>
      </w:r>
    </w:p>
    <w:p w:rsidR="002E3AE5" w:rsidRPr="001D7103" w:rsidRDefault="0080438C" w:rsidP="001D7103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1D7103">
        <w:rPr>
          <w:b/>
          <w:bCs/>
          <w:color w:val="231F20"/>
        </w:rPr>
        <w:t>OBRAZLOŽENJE</w:t>
      </w:r>
    </w:p>
    <w:p w:rsidR="002E3AE5" w:rsidRDefault="002E3AE5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147162" w:rsidRPr="001D7103" w:rsidRDefault="00147162" w:rsidP="001D7103">
      <w:pPr>
        <w:shd w:val="clear" w:color="auto" w:fill="FFFFFF"/>
        <w:jc w:val="center"/>
        <w:textAlignment w:val="baseline"/>
        <w:rPr>
          <w:color w:val="231F20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>Kako bi se ublažile posljedice rasta troškova života, ovom Odlukom predlaže se isplata jednokratnog novčanog primanja najosjetljivijim skupinama društva - korisnicima prava u sustavu socijalne skrbi i to prava na naknadu za ugroženog kupca energenata i prava na doplatak za pomoć i njegu, kojima je to pravo priznato u trenutku stupanja na snagu ove Odluke.</w:t>
      </w:r>
    </w:p>
    <w:p w:rsidR="0080438C" w:rsidRDefault="0080438C" w:rsidP="001D7103">
      <w:pPr>
        <w:ind w:firstLine="709"/>
        <w:jc w:val="both"/>
        <w:rPr>
          <w:rFonts w:eastAsia="Calibri"/>
          <w:bCs/>
          <w:lang w:eastAsia="en-US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 xml:space="preserve">Jednokratno novčano primanje isplatit će se korisnicima prava u sustavu socijalne skrbi u iznosu od 1.000,00 kuna. </w:t>
      </w:r>
    </w:p>
    <w:p w:rsidR="0080438C" w:rsidRDefault="0080438C" w:rsidP="001D7103">
      <w:pPr>
        <w:ind w:firstLine="709"/>
        <w:jc w:val="both"/>
        <w:rPr>
          <w:rFonts w:eastAsia="Calibri"/>
          <w:bCs/>
          <w:lang w:eastAsia="en-US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>Isplata jednokratnog novčanog primanja izvršit će se u prosincu 2022. godine putem nadležnih centara za socijalnu skrb.</w:t>
      </w:r>
    </w:p>
    <w:p w:rsidR="0080438C" w:rsidRDefault="0080438C" w:rsidP="001D7103">
      <w:pPr>
        <w:ind w:firstLine="709"/>
        <w:jc w:val="both"/>
        <w:rPr>
          <w:rFonts w:eastAsia="Calibri"/>
          <w:bCs/>
          <w:lang w:eastAsia="en-US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 xml:space="preserve">Jednokratno novčano primanje izuzeto je od ovrhe, a </w:t>
      </w:r>
      <w:bookmarkStart w:id="0" w:name="_Hlk67475945"/>
      <w:r w:rsidRPr="001D7103">
        <w:rPr>
          <w:rFonts w:eastAsia="Calibri"/>
          <w:bCs/>
          <w:lang w:eastAsia="en-US"/>
        </w:rPr>
        <w:t>sukladno članku 8. stavku 2. točki 1. Zakona o porezu na dohodak</w:t>
      </w:r>
      <w:bookmarkStart w:id="1" w:name="_Hlk67475917"/>
      <w:bookmarkEnd w:id="0"/>
      <w:r w:rsidRPr="001D7103">
        <w:rPr>
          <w:rFonts w:eastAsia="Calibri"/>
          <w:bCs/>
          <w:lang w:eastAsia="en-US"/>
        </w:rPr>
        <w:t xml:space="preserve"> ne smatra se dohotkom </w:t>
      </w:r>
      <w:bookmarkEnd w:id="1"/>
      <w:r w:rsidRPr="001D7103">
        <w:rPr>
          <w:rFonts w:eastAsia="Calibri"/>
          <w:bCs/>
          <w:lang w:eastAsia="en-US"/>
        </w:rPr>
        <w:t xml:space="preserve">te ne podliježe oporezivanju. </w:t>
      </w:r>
    </w:p>
    <w:p w:rsidR="0080438C" w:rsidRDefault="0080438C" w:rsidP="001D7103">
      <w:pPr>
        <w:ind w:firstLine="709"/>
        <w:jc w:val="both"/>
        <w:rPr>
          <w:rFonts w:eastAsia="Calibri"/>
          <w:bCs/>
          <w:lang w:eastAsia="en-US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 xml:space="preserve">Jednokratno novčano primanje isplaćeno korisnicima prava u sustavu socijalne skrbi neće se uračunavati u prihodovni cenzus za oslobođenje od plaćanja premije dopunskog zdravstvenog osiguranja. </w:t>
      </w:r>
    </w:p>
    <w:p w:rsidR="0080438C" w:rsidRDefault="0080438C" w:rsidP="001D7103">
      <w:pPr>
        <w:ind w:firstLine="709"/>
        <w:jc w:val="both"/>
        <w:rPr>
          <w:rFonts w:eastAsia="Calibri"/>
          <w:bCs/>
          <w:lang w:eastAsia="en-US"/>
        </w:rPr>
      </w:pPr>
    </w:p>
    <w:p w:rsidR="002E3AE5" w:rsidRPr="001D7103" w:rsidRDefault="002E3AE5" w:rsidP="001D7103">
      <w:pPr>
        <w:ind w:firstLine="709"/>
        <w:jc w:val="both"/>
        <w:rPr>
          <w:rFonts w:eastAsia="Calibri"/>
          <w:bCs/>
          <w:lang w:eastAsia="en-US"/>
        </w:rPr>
      </w:pPr>
      <w:r w:rsidRPr="001D7103">
        <w:rPr>
          <w:rFonts w:eastAsia="Calibri"/>
          <w:bCs/>
          <w:lang w:eastAsia="en-US"/>
        </w:rPr>
        <w:t>Sredstva za provedbu ove Odluke osiguravaju se u državnom proračunu Republike Hrvatske</w:t>
      </w:r>
      <w:r w:rsidRPr="001D7103">
        <w:rPr>
          <w:rFonts w:eastAsia="Calibri"/>
          <w:lang w:eastAsia="en-US"/>
        </w:rPr>
        <w:t xml:space="preserve"> </w:t>
      </w:r>
      <w:r w:rsidRPr="001D7103">
        <w:rPr>
          <w:rFonts w:eastAsia="Calibri"/>
          <w:bCs/>
          <w:lang w:eastAsia="en-US"/>
        </w:rPr>
        <w:t xml:space="preserve">unutar razdjela 086 Ministarstvo rada, mirovinskoga sustava, obitelji i socijalne politike, koje je i zaduženo za provedbu iste. </w:t>
      </w:r>
    </w:p>
    <w:p w:rsidR="0080438C" w:rsidRDefault="002E3AE5" w:rsidP="001D7103">
      <w:pPr>
        <w:rPr>
          <w:rFonts w:eastAsia="Calibri"/>
          <w:b/>
          <w:snapToGrid w:val="0"/>
          <w:lang w:eastAsia="en-US"/>
        </w:rPr>
      </w:pPr>
      <w:r w:rsidRPr="001D7103">
        <w:rPr>
          <w:rFonts w:eastAsia="Calibri"/>
          <w:b/>
          <w:snapToGrid w:val="0"/>
          <w:lang w:eastAsia="en-US"/>
        </w:rPr>
        <w:tab/>
      </w:r>
    </w:p>
    <w:p w:rsidR="002E3AE5" w:rsidRPr="001D7103" w:rsidRDefault="002E3AE5" w:rsidP="0080438C">
      <w:pPr>
        <w:ind w:firstLine="708"/>
        <w:rPr>
          <w:rFonts w:eastAsia="Calibri"/>
          <w:b/>
          <w:lang w:eastAsia="en-US"/>
        </w:rPr>
      </w:pPr>
      <w:r w:rsidRPr="001D7103">
        <w:rPr>
          <w:rFonts w:eastAsia="Calibri"/>
          <w:bCs/>
          <w:snapToGrid w:val="0"/>
          <w:lang w:eastAsia="en-US"/>
        </w:rPr>
        <w:t xml:space="preserve">Odluka će stupiti na </w:t>
      </w:r>
      <w:r w:rsidRPr="001D7103">
        <w:rPr>
          <w:rFonts w:eastAsia="Calibri"/>
          <w:lang w:eastAsia="en-US"/>
        </w:rPr>
        <w:t>snagu danom donošenja.</w:t>
      </w:r>
    </w:p>
    <w:p w:rsidR="002E3AE5" w:rsidRPr="001D7103" w:rsidRDefault="002E3AE5" w:rsidP="001D7103">
      <w:pPr>
        <w:shd w:val="clear" w:color="auto" w:fill="FFFFFF"/>
        <w:jc w:val="both"/>
        <w:textAlignment w:val="baseline"/>
        <w:rPr>
          <w:color w:val="231F20"/>
        </w:rPr>
      </w:pPr>
    </w:p>
    <w:p w:rsidR="002E3AE5" w:rsidRPr="001D7103" w:rsidRDefault="002E3AE5" w:rsidP="001D7103">
      <w:pPr>
        <w:rPr>
          <w:rFonts w:eastAsia="Calibri"/>
          <w:lang w:eastAsia="en-US"/>
        </w:rPr>
      </w:pPr>
    </w:p>
    <w:p w:rsidR="003A3706" w:rsidRPr="001D7103" w:rsidRDefault="003A3706" w:rsidP="001D7103">
      <w:pPr>
        <w:ind w:firstLine="708"/>
        <w:jc w:val="both"/>
        <w:rPr>
          <w:rFonts w:eastAsia="Calibri"/>
          <w:lang w:eastAsia="en-US"/>
        </w:rPr>
      </w:pPr>
    </w:p>
    <w:sectPr w:rsidR="003A3706" w:rsidRPr="001D7103" w:rsidSect="001D7103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60" w:rsidRDefault="00A91460">
      <w:r>
        <w:separator/>
      </w:r>
    </w:p>
  </w:endnote>
  <w:endnote w:type="continuationSeparator" w:id="0">
    <w:p w:rsidR="00A91460" w:rsidRDefault="00A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60" w:rsidRDefault="00A91460">
      <w:r>
        <w:separator/>
      </w:r>
    </w:p>
  </w:footnote>
  <w:footnote w:type="continuationSeparator" w:id="0">
    <w:p w:rsidR="00A91460" w:rsidRDefault="00A9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3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DE" w:rsidRDefault="00A91460">
    <w:pPr>
      <w:pStyle w:val="Header"/>
      <w:jc w:val="center"/>
    </w:pPr>
  </w:p>
  <w:p w:rsidR="00C025DE" w:rsidRDefault="00A9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46BA1"/>
    <w:rsid w:val="00051F1F"/>
    <w:rsid w:val="00147162"/>
    <w:rsid w:val="00186E65"/>
    <w:rsid w:val="001A3252"/>
    <w:rsid w:val="001B7269"/>
    <w:rsid w:val="001C155F"/>
    <w:rsid w:val="001C6903"/>
    <w:rsid w:val="001D7103"/>
    <w:rsid w:val="00231277"/>
    <w:rsid w:val="00256FBF"/>
    <w:rsid w:val="00284FE5"/>
    <w:rsid w:val="002C29E2"/>
    <w:rsid w:val="002E3AE5"/>
    <w:rsid w:val="002E5E56"/>
    <w:rsid w:val="002E6F34"/>
    <w:rsid w:val="00305355"/>
    <w:rsid w:val="00320DFC"/>
    <w:rsid w:val="0032265A"/>
    <w:rsid w:val="0032698A"/>
    <w:rsid w:val="00330824"/>
    <w:rsid w:val="0033386D"/>
    <w:rsid w:val="003A3706"/>
    <w:rsid w:val="0040667A"/>
    <w:rsid w:val="00434014"/>
    <w:rsid w:val="00475529"/>
    <w:rsid w:val="004C3E65"/>
    <w:rsid w:val="004D6D1A"/>
    <w:rsid w:val="00525EE4"/>
    <w:rsid w:val="00546204"/>
    <w:rsid w:val="005777A5"/>
    <w:rsid w:val="005F447B"/>
    <w:rsid w:val="005F7C18"/>
    <w:rsid w:val="00600F3E"/>
    <w:rsid w:val="00615AB9"/>
    <w:rsid w:val="00663676"/>
    <w:rsid w:val="006B6CCA"/>
    <w:rsid w:val="006C5DC4"/>
    <w:rsid w:val="006F07DE"/>
    <w:rsid w:val="00700574"/>
    <w:rsid w:val="00732AE2"/>
    <w:rsid w:val="00735C8B"/>
    <w:rsid w:val="00775B14"/>
    <w:rsid w:val="007A26CF"/>
    <w:rsid w:val="007A2858"/>
    <w:rsid w:val="007B0ED4"/>
    <w:rsid w:val="007C3E74"/>
    <w:rsid w:val="007D3238"/>
    <w:rsid w:val="007D7916"/>
    <w:rsid w:val="007E4C78"/>
    <w:rsid w:val="0080438C"/>
    <w:rsid w:val="0081203B"/>
    <w:rsid w:val="008371C4"/>
    <w:rsid w:val="00857A8A"/>
    <w:rsid w:val="00885971"/>
    <w:rsid w:val="008D7D51"/>
    <w:rsid w:val="008E4389"/>
    <w:rsid w:val="009549C7"/>
    <w:rsid w:val="00962A59"/>
    <w:rsid w:val="00962B9B"/>
    <w:rsid w:val="009C2882"/>
    <w:rsid w:val="009E5181"/>
    <w:rsid w:val="009F281C"/>
    <w:rsid w:val="00A01BA5"/>
    <w:rsid w:val="00A24F47"/>
    <w:rsid w:val="00A35D34"/>
    <w:rsid w:val="00A75B1F"/>
    <w:rsid w:val="00A91460"/>
    <w:rsid w:val="00AA4FD4"/>
    <w:rsid w:val="00AE4DDE"/>
    <w:rsid w:val="00AF74AE"/>
    <w:rsid w:val="00B00783"/>
    <w:rsid w:val="00B046F8"/>
    <w:rsid w:val="00B51252"/>
    <w:rsid w:val="00B86612"/>
    <w:rsid w:val="00BA0D9A"/>
    <w:rsid w:val="00BB4DAA"/>
    <w:rsid w:val="00BD65FD"/>
    <w:rsid w:val="00C60185"/>
    <w:rsid w:val="00C7554F"/>
    <w:rsid w:val="00C83016"/>
    <w:rsid w:val="00CB6186"/>
    <w:rsid w:val="00D12D61"/>
    <w:rsid w:val="00D42F64"/>
    <w:rsid w:val="00D62D48"/>
    <w:rsid w:val="00D63F13"/>
    <w:rsid w:val="00D826EB"/>
    <w:rsid w:val="00E57602"/>
    <w:rsid w:val="00E636A7"/>
    <w:rsid w:val="00E81F2A"/>
    <w:rsid w:val="00E83F7E"/>
    <w:rsid w:val="00E965BB"/>
    <w:rsid w:val="00F14734"/>
    <w:rsid w:val="00F372D1"/>
    <w:rsid w:val="00F90D5F"/>
    <w:rsid w:val="00FD3193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BCE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Robert Matijević</cp:lastModifiedBy>
  <cp:revision>11</cp:revision>
  <cp:lastPrinted>2022-03-07T13:50:00Z</cp:lastPrinted>
  <dcterms:created xsi:type="dcterms:W3CDTF">2022-12-22T07:51:00Z</dcterms:created>
  <dcterms:modified xsi:type="dcterms:W3CDTF">2022-12-22T08:30:00Z</dcterms:modified>
</cp:coreProperties>
</file>